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408" w:lineRule="atLeast"/>
        <w:jc w:val="both"/>
        <w:rPr>
          <w:rFonts w:ascii="微软雅黑" w:hAnsi="微软雅黑" w:cs="宋体"/>
          <w:color w:val="333333"/>
          <w:spacing w:val="8"/>
          <w:sz w:val="26"/>
          <w:szCs w:val="26"/>
        </w:rPr>
      </w:pP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</w:rPr>
        <w:t>附件1</w:t>
      </w:r>
    </w:p>
    <w:p>
      <w:pPr>
        <w:shd w:val="clear" w:color="auto" w:fill="FFFFFF"/>
        <w:adjustRightInd/>
        <w:snapToGrid/>
        <w:spacing w:after="0" w:line="408" w:lineRule="atLeast"/>
        <w:jc w:val="center"/>
        <w:rPr>
          <w:rFonts w:ascii="微软雅黑" w:hAnsi="微软雅黑" w:cs="宋体"/>
          <w:color w:val="333333"/>
          <w:spacing w:val="8"/>
          <w:sz w:val="26"/>
          <w:szCs w:val="26"/>
        </w:rPr>
      </w:pPr>
      <w:r>
        <w:rPr>
          <w:rFonts w:hint="eastAsia" w:ascii="仿宋_GB2312" w:hAnsi="微软雅黑" w:eastAsia="仿宋_GB2312" w:cs="宋体"/>
          <w:b/>
          <w:bCs/>
          <w:color w:val="333333"/>
          <w:spacing w:val="8"/>
          <w:sz w:val="44"/>
        </w:rPr>
        <w:t>推进军民融合深度发展和军工保密资格</w:t>
      </w:r>
    </w:p>
    <w:p>
      <w:pPr>
        <w:shd w:val="clear" w:color="auto" w:fill="FFFFFF"/>
        <w:adjustRightInd/>
        <w:snapToGrid/>
        <w:spacing w:after="0" w:line="408" w:lineRule="atLeast"/>
        <w:jc w:val="center"/>
        <w:rPr>
          <w:rFonts w:ascii="微软雅黑" w:hAnsi="微软雅黑" w:cs="宋体"/>
          <w:color w:val="333333"/>
          <w:spacing w:val="8"/>
          <w:sz w:val="26"/>
          <w:szCs w:val="26"/>
        </w:rPr>
      </w:pPr>
      <w:r>
        <w:rPr>
          <w:rFonts w:hint="eastAsia" w:ascii="仿宋_GB2312" w:hAnsi="微软雅黑" w:eastAsia="仿宋_GB2312" w:cs="宋体"/>
          <w:b/>
          <w:bCs/>
          <w:color w:val="333333"/>
          <w:spacing w:val="8"/>
          <w:sz w:val="44"/>
        </w:rPr>
        <w:t>认证高级培训班日程安排</w:t>
      </w:r>
    </w:p>
    <w:p>
      <w:pPr>
        <w:shd w:val="clear" w:color="auto" w:fill="FFFFFF"/>
        <w:adjustRightInd/>
        <w:snapToGrid/>
        <w:spacing w:after="0" w:line="408" w:lineRule="atLeast"/>
        <w:jc w:val="center"/>
        <w:rPr>
          <w:rFonts w:ascii="微软雅黑" w:hAnsi="微软雅黑" w:cs="宋体"/>
          <w:color w:val="333333"/>
          <w:spacing w:val="8"/>
          <w:sz w:val="26"/>
          <w:szCs w:val="26"/>
        </w:rPr>
      </w:pPr>
      <w:r>
        <w:rPr>
          <w:rFonts w:hint="eastAsia" w:ascii="宋体" w:hAnsi="宋体" w:eastAsia="宋体" w:cs="宋体"/>
          <w:color w:val="333333"/>
          <w:spacing w:val="8"/>
          <w:sz w:val="44"/>
          <w:szCs w:val="44"/>
        </w:rPr>
        <w:t> </w:t>
      </w:r>
    </w:p>
    <w:tbl>
      <w:tblPr>
        <w:tblStyle w:val="3"/>
        <w:tblW w:w="10155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2294"/>
        <w:gridCol w:w="3424"/>
        <w:gridCol w:w="2632"/>
        <w:gridCol w:w="121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2"/>
                <w:szCs w:val="32"/>
              </w:rPr>
              <w:t>时 间</w:t>
            </w:r>
          </w:p>
        </w:tc>
        <w:tc>
          <w:tcPr>
            <w:tcW w:w="34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2"/>
                <w:szCs w:val="32"/>
              </w:rPr>
              <w:t>内 容</w:t>
            </w:r>
          </w:p>
        </w:tc>
        <w:tc>
          <w:tcPr>
            <w:tcW w:w="2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2"/>
                <w:szCs w:val="32"/>
              </w:rPr>
              <w:t>主讲人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2"/>
                <w:szCs w:val="32"/>
              </w:rPr>
              <w:t>地 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15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2"/>
                <w:szCs w:val="32"/>
              </w:rPr>
              <w:t>7月20日10：00—20：00报到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0" w:hRule="atLeast"/>
          <w:jc w:val="center"/>
        </w:trPr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21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日上午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</w:tc>
        <w:tc>
          <w:tcPr>
            <w:tcW w:w="22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9：00-12：00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</w:tc>
        <w:tc>
          <w:tcPr>
            <w:tcW w:w="34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1、国家军民融合政策解读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2、军民融合的方向、重点领域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3、军民融合成功案例分析</w:t>
            </w:r>
          </w:p>
        </w:tc>
        <w:tc>
          <w:tcPr>
            <w:tcW w:w="26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张子利：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中央军委信息化建设专家、中央网信办特聘专家、中关村军民融合产业联盟专家委员会主任。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海为酒店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  <w:jc w:val="center"/>
        </w:trPr>
        <w:tc>
          <w:tcPr>
            <w:tcW w:w="5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21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日下午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14：30-17：00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1、军工保密资格认证法律法规及相关政策解读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2、申请保密资格认证的基本要求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宋云鹏：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中电科集团公司保密专家成员、27所保密处处长、高级工程师。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海为酒店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5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17:00-17：40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1、保密管理基本知识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魏碧野：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河南省国防科工局军品生产监管处处长。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海为酒店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0" w:hRule="atLeast"/>
          <w:jc w:val="center"/>
        </w:trPr>
        <w:tc>
          <w:tcPr>
            <w:tcW w:w="5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22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日上午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9：00-10：30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1、省委、省政府《关于打好转型发展攻坚战的实施方案》解读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2、省政府办公厅《河南省支持转型发展攻坚战若干财政政策》解读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吕五权：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中共河南省委政策研究室副主任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海为酒店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5" w:hRule="atLeast"/>
          <w:jc w:val="center"/>
        </w:trPr>
        <w:tc>
          <w:tcPr>
            <w:tcW w:w="5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10：30-12:00</w:t>
            </w:r>
          </w:p>
        </w:tc>
        <w:tc>
          <w:tcPr>
            <w:tcW w:w="34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1、省工信委《河南省企业创新管理提质增效评价指标体系》解读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2、省工信委《企业创新管理提质增效》成功经验介绍</w:t>
            </w:r>
          </w:p>
        </w:tc>
        <w:tc>
          <w:tcPr>
            <w:tcW w:w="26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张富禄：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河南省社会科学院工业经济研究所所长、研究员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海为酒店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9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22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日下午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14：00-15：30</w:t>
            </w:r>
          </w:p>
        </w:tc>
        <w:tc>
          <w:tcPr>
            <w:tcW w:w="72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参观中国船舶重工集团公司第七一三研究所（统一组织，自愿参加）</w:t>
            </w:r>
          </w:p>
          <w:p>
            <w:pPr>
              <w:wordWrap w:val="0"/>
              <w:adjustRightInd/>
              <w:snapToGrid/>
              <w:spacing w:after="0" w:line="375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9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30"/>
                <w:szCs w:val="30"/>
              </w:rPr>
              <w:t> </w:t>
            </w:r>
          </w:p>
          <w:p>
            <w:pPr>
              <w:wordWrap w:val="0"/>
              <w:adjustRightInd/>
              <w:snapToGrid/>
              <w:spacing w:after="0" w:line="408" w:lineRule="atLeast"/>
              <w:jc w:val="center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15：30-16：00</w:t>
            </w:r>
          </w:p>
        </w:tc>
        <w:tc>
          <w:tcPr>
            <w:tcW w:w="72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ordWrap w:val="0"/>
              <w:adjustRightInd/>
              <w:snapToGrid/>
              <w:spacing w:after="0" w:line="408" w:lineRule="atLeast"/>
              <w:jc w:val="both"/>
              <w:rPr>
                <w:rFonts w:ascii="微软雅黑" w:hAnsi="微软雅黑" w:cs="宋体"/>
                <w:color w:val="333333"/>
                <w:spacing w:val="8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sz w:val="30"/>
                <w:szCs w:val="30"/>
              </w:rPr>
              <w:t>培训班结业，颁发结业证书，发送学员通讯录，返程。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7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%E5%BC%A0%E7%90%BC%E6%B4%81</cp:lastModifiedBy>
  <dcterms:modified xsi:type="dcterms:W3CDTF">2018-07-16T10:17:53Z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